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Episode 2: Why Learn About Global Surgery </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Guest: </w:t>
      </w:r>
      <w:r w:rsidDel="00000000" w:rsidR="00000000" w:rsidRPr="00000000">
        <w:rPr>
          <w:rFonts w:ascii="Times New Roman" w:cs="Times New Roman" w:eastAsia="Times New Roman" w:hAnsi="Times New Roman"/>
          <w:sz w:val="24"/>
          <w:szCs w:val="24"/>
          <w:rtl w:val="0"/>
        </w:rPr>
        <w:t xml:space="preserve"> Dr. Brian Westerberg &amp; Dr. Johannes Fagan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Wiedermann</w:t>
      </w:r>
      <w:r w:rsidDel="00000000" w:rsidR="00000000" w:rsidRPr="00000000">
        <w:rPr>
          <w:rFonts w:ascii="Times New Roman" w:cs="Times New Roman" w:eastAsia="Times New Roman" w:hAnsi="Times New Roman"/>
          <w:sz w:val="24"/>
          <w:szCs w:val="24"/>
          <w:rtl w:val="0"/>
        </w:rPr>
        <w:t xml:space="preserve"> begins the episode with mention of the </w:t>
      </w:r>
      <w:r w:rsidDel="00000000" w:rsidR="00000000" w:rsidRPr="00000000">
        <w:rPr>
          <w:rFonts w:ascii="Times New Roman" w:cs="Times New Roman" w:eastAsia="Times New Roman" w:hAnsi="Times New Roman"/>
          <w:b w:val="1"/>
          <w:sz w:val="24"/>
          <w:szCs w:val="24"/>
          <w:rtl w:val="0"/>
        </w:rPr>
        <w:t xml:space="preserve">Master of Global Surgical Care  program at the University of British Columbia </w:t>
      </w:r>
      <w:r w:rsidDel="00000000" w:rsidR="00000000" w:rsidRPr="00000000">
        <w:rPr>
          <w:rFonts w:ascii="Times New Roman" w:cs="Times New Roman" w:eastAsia="Times New Roman" w:hAnsi="Times New Roman"/>
          <w:sz w:val="24"/>
          <w:szCs w:val="24"/>
          <w:rtl w:val="0"/>
        </w:rPr>
        <w:t xml:space="preserve">which he pursued at the  recommendation of Dr. Westerberg.</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How do you both define global surgery?</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Westerberg</w:t>
      </w:r>
      <w:r w:rsidDel="00000000" w:rsidR="00000000" w:rsidRPr="00000000">
        <w:rPr>
          <w:rtl w:val="0"/>
        </w:rPr>
      </w:r>
    </w:p>
    <w:p w:rsidR="00000000" w:rsidDel="00000000" w:rsidP="00000000" w:rsidRDefault="00000000" w:rsidRPr="00000000" w14:paraId="0000000C">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definition of global surgical care needs to be expanded. The most pressing issue today for health care is planetary health and climate change and that needs to fall under the umbrella of global surgical care. </w:t>
      </w:r>
    </w:p>
    <w:p w:rsidR="00000000" w:rsidDel="00000000" w:rsidP="00000000" w:rsidRDefault="00000000" w:rsidRPr="00000000" w14:paraId="0000000D">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Healthcare is responsible for ~5% of global greenhouse gas emissions which is on par with the aviation industry. It would behoove us to provide </w:t>
      </w:r>
      <w:r w:rsidDel="00000000" w:rsidR="00000000" w:rsidRPr="00000000">
        <w:rPr>
          <w:rFonts w:ascii="Times New Roman" w:cs="Times New Roman" w:eastAsia="Times New Roman" w:hAnsi="Times New Roman"/>
          <w:sz w:val="24"/>
          <w:szCs w:val="24"/>
          <w:u w:val="single"/>
          <w:rtl w:val="0"/>
        </w:rPr>
        <w:t xml:space="preserve">global care that is more sustainable and less impactful to planetary health</w:t>
      </w:r>
      <w:r w:rsidDel="00000000" w:rsidR="00000000" w:rsidRPr="00000000">
        <w:rPr>
          <w:rFonts w:ascii="Times New Roman" w:cs="Times New Roman" w:eastAsia="Times New Roman" w:hAnsi="Times New Roman"/>
          <w:sz w:val="24"/>
          <w:szCs w:val="24"/>
          <w:rtl w:val="0"/>
        </w:rPr>
        <w:t xml:space="preserve">. While international outreach is part of it, it doesn't have the same emphasis now. More people are looking at it as a means to an end for improving all of our wellbeing whether high or low-income settings.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Fagan </w:t>
      </w:r>
      <w:r w:rsidDel="00000000" w:rsidR="00000000" w:rsidRPr="00000000">
        <w:rPr>
          <w:rtl w:val="0"/>
        </w:rPr>
      </w:r>
    </w:p>
    <w:p w:rsidR="00000000" w:rsidDel="00000000" w:rsidP="00000000" w:rsidRDefault="00000000" w:rsidRPr="00000000" w14:paraId="0000001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me global surgery is about </w:t>
      </w:r>
      <w:r w:rsidDel="00000000" w:rsidR="00000000" w:rsidRPr="00000000">
        <w:rPr>
          <w:rFonts w:ascii="Times New Roman" w:cs="Times New Roman" w:eastAsia="Times New Roman" w:hAnsi="Times New Roman"/>
          <w:sz w:val="24"/>
          <w:szCs w:val="24"/>
          <w:u w:val="single"/>
          <w:rtl w:val="0"/>
        </w:rPr>
        <w:t xml:space="preserve">social justice and achieving equitable access to healthcare and health education </w:t>
      </w:r>
      <w:r w:rsidDel="00000000" w:rsidR="00000000" w:rsidRPr="00000000">
        <w:rPr>
          <w:rFonts w:ascii="Times New Roman" w:cs="Times New Roman" w:eastAsia="Times New Roman" w:hAnsi="Times New Roman"/>
          <w:sz w:val="24"/>
          <w:szCs w:val="24"/>
          <w:rtl w:val="0"/>
        </w:rPr>
        <w:t xml:space="preserve">regardless of class, location, income.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ENT we should remain cognizant that head and neck cancer make up about </w:t>
      </w:r>
      <w:r w:rsidDel="00000000" w:rsidR="00000000" w:rsidRPr="00000000">
        <w:rPr>
          <w:rFonts w:ascii="Times New Roman" w:cs="Times New Roman" w:eastAsia="Times New Roman" w:hAnsi="Times New Roman"/>
          <w:i w:val="1"/>
          <w:sz w:val="24"/>
          <w:szCs w:val="24"/>
          <w:rtl w:val="0"/>
        </w:rPr>
        <w:t xml:space="preserve">80% of cancer deaths and </w:t>
      </w:r>
      <w:r w:rsidDel="00000000" w:rsidR="00000000" w:rsidRPr="00000000">
        <w:rPr>
          <w:rFonts w:ascii="Times New Roman" w:cs="Times New Roman" w:eastAsia="Times New Roman" w:hAnsi="Times New Roman"/>
          <w:i w:val="1"/>
          <w:sz w:val="24"/>
          <w:szCs w:val="24"/>
          <w:rtl w:val="0"/>
        </w:rPr>
        <w:t xml:space="preserve">80% of patients with significant hearing loss reside in LMIC</w:t>
      </w:r>
      <w:r w:rsidDel="00000000" w:rsidR="00000000" w:rsidRPr="00000000">
        <w:rPr>
          <w:rFonts w:ascii="Times New Roman" w:cs="Times New Roman" w:eastAsia="Times New Roman" w:hAnsi="Times New Roman"/>
          <w:i w:val="1"/>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So targeting LMICs is the low hanging fruit. </w:t>
      </w: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Wiedermann</w:t>
      </w:r>
      <w:r w:rsidDel="00000000" w:rsidR="00000000" w:rsidRPr="00000000">
        <w:rPr>
          <w:rtl w:val="0"/>
        </w:rPr>
      </w:r>
    </w:p>
    <w:p w:rsidR="00000000" w:rsidDel="00000000" w:rsidP="00000000" w:rsidRDefault="00000000" w:rsidRPr="00000000" w14:paraId="0000001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living in Ethiopia he started to notice the</w:t>
      </w:r>
      <w:r w:rsidDel="00000000" w:rsidR="00000000" w:rsidRPr="00000000">
        <w:rPr>
          <w:rFonts w:ascii="Times New Roman" w:cs="Times New Roman" w:eastAsia="Times New Roman" w:hAnsi="Times New Roman"/>
          <w:i w:val="1"/>
          <w:sz w:val="24"/>
          <w:szCs w:val="24"/>
          <w:u w:val="single"/>
          <w:rtl w:val="0"/>
        </w:rPr>
        <w:t xml:space="preserve"> </w:t>
      </w:r>
      <w:hyperlink r:id="rId6">
        <w:r w:rsidDel="00000000" w:rsidR="00000000" w:rsidRPr="00000000">
          <w:rPr>
            <w:rFonts w:ascii="Times New Roman" w:cs="Times New Roman" w:eastAsia="Times New Roman" w:hAnsi="Times New Roman"/>
            <w:i w:val="1"/>
            <w:color w:val="1155cc"/>
            <w:sz w:val="24"/>
            <w:szCs w:val="24"/>
            <w:u w:val="single"/>
            <w:rtl w:val="0"/>
          </w:rPr>
          <w:t xml:space="preserve">three-delay system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1 delay is the decision to seek healthcare/realizing you have a problem needing help</w:t>
      </w:r>
    </w:p>
    <w:p w:rsidR="00000000" w:rsidDel="00000000" w:rsidP="00000000" w:rsidRDefault="00000000" w:rsidRPr="00000000" w14:paraId="00000016">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2 is getting through the barriers to seek care. </w:t>
      </w:r>
    </w:p>
    <w:p w:rsidR="00000000" w:rsidDel="00000000" w:rsidP="00000000" w:rsidRDefault="00000000" w:rsidRPr="00000000" w14:paraId="00000017">
      <w:pPr>
        <w:numPr>
          <w:ilvl w:val="1"/>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Type 3 once you're at the institution, the institution doesn’t have the resources, specialty, or perform the wrong procedure. </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Fagan </w:t>
      </w:r>
    </w:p>
    <w:p w:rsidR="00000000" w:rsidDel="00000000" w:rsidP="00000000" w:rsidRDefault="00000000" w:rsidRPr="00000000" w14:paraId="00000019">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Dr. Fagan states that the standard of care and guidelines such as NCCN guidelines that are applied  in western countries do not translate to low income countries due to lack of resources. The </w:t>
      </w:r>
      <w:hyperlink r:id="rId7">
        <w:r w:rsidDel="00000000" w:rsidR="00000000" w:rsidRPr="00000000">
          <w:rPr>
            <w:rFonts w:ascii="Times New Roman" w:cs="Times New Roman" w:eastAsia="Times New Roman" w:hAnsi="Times New Roman"/>
            <w:i w:val="1"/>
            <w:color w:val="1155cc"/>
            <w:sz w:val="24"/>
            <w:szCs w:val="24"/>
            <w:u w:val="single"/>
            <w:rtl w:val="0"/>
          </w:rPr>
          <w:t xml:space="preserve">African Head &amp; Neck Guidelines</w:t>
        </w:r>
      </w:hyperlink>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are adapted to resource limited settings.</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Westerberg</w:t>
      </w:r>
    </w:p>
    <w:p w:rsidR="00000000" w:rsidDel="00000000" w:rsidP="00000000" w:rsidRDefault="00000000" w:rsidRPr="00000000" w14:paraId="0000001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to ask are “where are the needs” and “what are the needs”. We high income countries impose what we think others need. In Canada, it happens with indigenous populations. </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What other elements, other than a change in mentality, do you think med students/residents from HIC need to constitute a solid foundation for starting on-the-ground work?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Fagan</w:t>
      </w:r>
    </w:p>
    <w:p w:rsidR="00000000" w:rsidDel="00000000" w:rsidP="00000000" w:rsidRDefault="00000000" w:rsidRPr="00000000" w14:paraId="00000021">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Strong advocate of open access training such as </w:t>
      </w:r>
      <w:hyperlink r:id="rId8">
        <w:r w:rsidDel="00000000" w:rsidR="00000000" w:rsidRPr="00000000">
          <w:rPr>
            <w:rFonts w:ascii="Times New Roman" w:cs="Times New Roman" w:eastAsia="Times New Roman" w:hAnsi="Times New Roman"/>
            <w:i w:val="1"/>
            <w:color w:val="1155cc"/>
            <w:sz w:val="24"/>
            <w:szCs w:val="24"/>
            <w:u w:val="single"/>
            <w:rtl w:val="0"/>
          </w:rPr>
          <w:t xml:space="preserve">ENT in a Nutshell</w:t>
        </w:r>
      </w:hyperlink>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other open access texts, and videos. I encourage young people to get involved with local departments.</w:t>
      </w:r>
    </w:p>
    <w:p w:rsidR="00000000" w:rsidDel="00000000" w:rsidP="00000000" w:rsidRDefault="00000000" w:rsidRPr="00000000" w14:paraId="00000022">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resident, and faculty researchers must engage which local faculty for research that they are doing with that population.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Wiedermann</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 you think it's essential for surgical learners to learn about global surgery and its impact? Should that be part of our everyday curriculum?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 </w:t>
      </w:r>
      <w:r w:rsidDel="00000000" w:rsidR="00000000" w:rsidRPr="00000000">
        <w:rPr>
          <w:rFonts w:ascii="Times New Roman" w:cs="Times New Roman" w:eastAsia="Times New Roman" w:hAnsi="Times New Roman"/>
          <w:sz w:val="24"/>
          <w:szCs w:val="24"/>
          <w:rtl w:val="0"/>
        </w:rPr>
        <w:t xml:space="preserve">I see performing global surgery to be a pyramid; bottom is short term surgical trips (largest amount of people and time dedicated to it), top of pyramid are those who are highly involved in policy (i.e. WHO). What do we need more and less of in that pyramid?</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Fagan </w:t>
      </w:r>
    </w:p>
    <w:p w:rsidR="00000000" w:rsidDel="00000000" w:rsidP="00000000" w:rsidRDefault="00000000" w:rsidRPr="00000000" w14:paraId="0000002A">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Africa we haven’t developed a good structured system for </w:t>
      </w:r>
      <w:r w:rsidDel="00000000" w:rsidR="00000000" w:rsidRPr="00000000">
        <w:rPr>
          <w:rFonts w:ascii="Times New Roman" w:cs="Times New Roman" w:eastAsia="Times New Roman" w:hAnsi="Times New Roman"/>
          <w:sz w:val="24"/>
          <w:szCs w:val="24"/>
          <w:rtl w:val="0"/>
        </w:rPr>
        <w:t xml:space="preserve">HIC</w:t>
      </w:r>
      <w:r w:rsidDel="00000000" w:rsidR="00000000" w:rsidRPr="00000000">
        <w:rPr>
          <w:rFonts w:ascii="Times New Roman" w:cs="Times New Roman" w:eastAsia="Times New Roman" w:hAnsi="Times New Roman"/>
          <w:sz w:val="24"/>
          <w:szCs w:val="24"/>
          <w:rtl w:val="0"/>
        </w:rPr>
        <w:t xml:space="preserve"> colleagues to reach out in a meaningful fashion. </w:t>
      </w:r>
    </w:p>
    <w:p w:rsidR="00000000" w:rsidDel="00000000" w:rsidP="00000000" w:rsidRDefault="00000000" w:rsidRPr="00000000" w14:paraId="0000002B">
      <w:pPr>
        <w:numPr>
          <w:ilvl w:val="0"/>
          <w:numId w:val="6"/>
        </w:numPr>
        <w:ind w:left="720" w:hanging="360"/>
        <w:rPr>
          <w:rFonts w:ascii="Times New Roman" w:cs="Times New Roman" w:eastAsia="Times New Roman" w:hAnsi="Times New Roman"/>
          <w:sz w:val="24"/>
          <w:szCs w:val="24"/>
          <w:u w:val="none"/>
        </w:rPr>
      </w:pPr>
      <w:hyperlink r:id="rId9">
        <w:r w:rsidDel="00000000" w:rsidR="00000000" w:rsidRPr="00000000">
          <w:rPr>
            <w:rFonts w:ascii="Times New Roman" w:cs="Times New Roman" w:eastAsia="Times New Roman" w:hAnsi="Times New Roman"/>
            <w:b w:val="1"/>
            <w:color w:val="1155cc"/>
            <w:sz w:val="24"/>
            <w:szCs w:val="24"/>
            <w:u w:val="single"/>
            <w:rtl w:val="0"/>
          </w:rPr>
          <w:t xml:space="preserve">African Head &amp; Neck Society: Head and Neck Fellows</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program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(new) partnerships we established between North American and African surgeons.</w:t>
      </w:r>
    </w:p>
    <w:p w:rsidR="00000000" w:rsidDel="00000000" w:rsidP="00000000" w:rsidRDefault="00000000" w:rsidRPr="00000000" w14:paraId="0000002C">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Starting an Otology fellowship in Capetown. UMich faculty members will do a once a week zoom lecture. </w:t>
      </w:r>
    </w:p>
    <w:p w:rsidR="00000000" w:rsidDel="00000000" w:rsidP="00000000" w:rsidRDefault="00000000" w:rsidRPr="00000000" w14:paraId="0000002D">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be looking at creating structures like this so that HIC teachers can maximize their contributions to LMIC.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Organizations</w:t>
      </w:r>
    </w:p>
    <w:p w:rsidR="00000000" w:rsidDel="00000000" w:rsidP="00000000" w:rsidRDefault="00000000" w:rsidRPr="00000000" w14:paraId="00000036">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British Columbia-Master of Global Surgical Care</w:t>
      </w:r>
    </w:p>
    <w:p w:rsidR="00000000" w:rsidDel="00000000" w:rsidP="00000000" w:rsidRDefault="00000000" w:rsidRPr="00000000" w14:paraId="00000037">
      <w:pPr>
        <w:rPr>
          <w:rFonts w:ascii="Times New Roman" w:cs="Times New Roman" w:eastAsia="Times New Roman" w:hAnsi="Times New Roman"/>
          <w:sz w:val="24"/>
          <w:szCs w:val="24"/>
          <w:u w:val="single"/>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https://www.grad.ubc.ca/prospective-students/graduate-degree-programs/master-global-surgical-care</w:t>
        </w:r>
      </w:hyperlink>
      <w:r w:rsidDel="00000000" w:rsidR="00000000" w:rsidRPr="00000000">
        <w:rPr>
          <w:rtl w:val="0"/>
        </w:rPr>
      </w:r>
    </w:p>
    <w:p w:rsidR="00000000" w:rsidDel="00000000" w:rsidP="00000000" w:rsidRDefault="00000000" w:rsidRPr="00000000" w14:paraId="00000038">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African Head and Neck Society </w:t>
      </w:r>
    </w:p>
    <w:p w:rsidR="00000000" w:rsidDel="00000000" w:rsidP="00000000" w:rsidRDefault="00000000" w:rsidRPr="00000000" w14:paraId="0000003A">
      <w:pPr>
        <w:jc w:val="left"/>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https://afhns.org/</w:t>
        </w:r>
      </w:hyperlink>
      <w:r w:rsidDel="00000000" w:rsidR="00000000" w:rsidRPr="00000000">
        <w:rPr>
          <w:rtl w:val="0"/>
        </w:rPr>
      </w:r>
    </w:p>
    <w:p w:rsidR="00000000" w:rsidDel="00000000" w:rsidP="00000000" w:rsidRDefault="00000000" w:rsidRPr="00000000" w14:paraId="0000003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color w:val="1155cc"/>
          <w:sz w:val="24"/>
          <w:szCs w:val="24"/>
          <w:u w:val="single"/>
        </w:rPr>
      </w:pPr>
      <w:r w:rsidDel="00000000" w:rsidR="00000000" w:rsidRPr="00000000">
        <w:rPr>
          <w:rFonts w:ascii="Times New Roman" w:cs="Times New Roman" w:eastAsia="Times New Roman" w:hAnsi="Times New Roman"/>
          <w:b w:val="1"/>
          <w:sz w:val="24"/>
          <w:szCs w:val="24"/>
          <w:rtl w:val="0"/>
        </w:rPr>
        <w:t xml:space="preserve">Dr. Fagan maintains an open access educational website for ENT surgeons </w:t>
      </w:r>
      <w:hyperlink r:id="rId12">
        <w:r w:rsidDel="00000000" w:rsidR="00000000" w:rsidRPr="00000000">
          <w:rPr>
            <w:rFonts w:ascii="Times New Roman" w:cs="Times New Roman" w:eastAsia="Times New Roman" w:hAnsi="Times New Roman"/>
            <w:color w:val="1155cc"/>
            <w:sz w:val="24"/>
            <w:szCs w:val="24"/>
            <w:u w:val="single"/>
            <w:rtl w:val="0"/>
          </w:rPr>
          <w:t xml:space="preserve">http://www.entdev.uct.ac.za</w:t>
        </w:r>
      </w:hyperlink>
      <w:r w:rsidDel="00000000" w:rsidR="00000000" w:rsidRPr="00000000">
        <w:rPr>
          <w:rtl w:val="0"/>
        </w:rPr>
      </w:r>
    </w:p>
    <w:p w:rsidR="00000000" w:rsidDel="00000000" w:rsidP="00000000" w:rsidRDefault="00000000" w:rsidRPr="00000000" w14:paraId="0000003D">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Open Access Atlas of Otolaryngology and Head and Neck Operative Surgery</w:t>
      </w:r>
    </w:p>
    <w:p w:rsidR="00000000" w:rsidDel="00000000" w:rsidP="00000000" w:rsidRDefault="00000000" w:rsidRPr="00000000" w14:paraId="0000003E">
      <w:pPr>
        <w:ind w:left="720" w:firstLine="0"/>
        <w:rPr>
          <w:rFonts w:ascii="Times New Roman" w:cs="Times New Roman" w:eastAsia="Times New Roman" w:hAnsi="Times New Roman"/>
          <w:b w:val="1"/>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http://www.entdev.uct.ac.za/guides/open-access-atlas-of-otolaryngology-head-neck-operative-surgery/</w:t>
        </w:r>
      </w:hyperlink>
      <w:r w:rsidDel="00000000" w:rsidR="00000000" w:rsidRPr="00000000">
        <w:rPr>
          <w:rtl w:val="0"/>
        </w:rPr>
      </w:r>
    </w:p>
    <w:p w:rsidR="00000000" w:rsidDel="00000000" w:rsidP="00000000" w:rsidRDefault="00000000" w:rsidRPr="00000000" w14:paraId="0000003F">
      <w:pPr>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Open Access Guide to Audiology and Hearing Aids for Otolaryngologist</w:t>
      </w:r>
    </w:p>
    <w:p w:rsidR="00000000" w:rsidDel="00000000" w:rsidP="00000000" w:rsidRDefault="00000000" w:rsidRPr="00000000" w14:paraId="00000040">
      <w:pPr>
        <w:ind w:left="720" w:firstLine="0"/>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http://www.entdev.uct.ac.za/guides/open-access-guide-to-audiology-and-hearing-aids-for-otolaryngologists</w:t>
        </w:r>
      </w:hyperlink>
      <w:r w:rsidDel="00000000" w:rsidR="00000000" w:rsidRPr="00000000">
        <w:rPr>
          <w:rtl w:val="0"/>
        </w:rPr>
      </w:r>
    </w:p>
    <w:p w:rsidR="00000000" w:rsidDel="00000000" w:rsidP="00000000" w:rsidRDefault="00000000" w:rsidRPr="00000000" w14:paraId="00000041">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References</w:t>
      </w:r>
    </w:p>
    <w:p w:rsidR="00000000" w:rsidDel="00000000" w:rsidP="00000000" w:rsidRDefault="00000000" w:rsidRPr="00000000" w14:paraId="00000044">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5">
      <w:pPr>
        <w:numPr>
          <w:ilvl w:val="0"/>
          <w:numId w:val="3"/>
        </w:numPr>
        <w:spacing w:line="240" w:lineRule="auto"/>
        <w:ind w:left="9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Westerberg BD, Lango MN. </w:t>
      </w:r>
      <w:r w:rsidDel="00000000" w:rsidR="00000000" w:rsidRPr="00000000">
        <w:rPr>
          <w:rFonts w:ascii="Times New Roman" w:cs="Times New Roman" w:eastAsia="Times New Roman" w:hAnsi="Times New Roman"/>
          <w:b w:val="1"/>
          <w:sz w:val="24"/>
          <w:szCs w:val="24"/>
          <w:rtl w:val="0"/>
        </w:rPr>
        <w:t xml:space="preserve">Otolaryngology-Related Disorders in Underserved Populations, Otolaryngology Training and Workforce Considerations in North America.</w:t>
      </w:r>
      <w:r w:rsidDel="00000000" w:rsidR="00000000" w:rsidRPr="00000000">
        <w:rPr>
          <w:rFonts w:ascii="Times New Roman" w:cs="Times New Roman" w:eastAsia="Times New Roman" w:hAnsi="Times New Roman"/>
          <w:sz w:val="24"/>
          <w:szCs w:val="24"/>
          <w:rtl w:val="0"/>
        </w:rPr>
        <w:t xml:space="preserve"> Otolaryngol Clin North Am. 2018 Jun;51(3):685-695. doi: 10.1016/j.otc.2018.01.013. Epub 2018 Feb 23. PMID: 29482920.</w:t>
      </w:r>
      <w:r w:rsidDel="00000000" w:rsidR="00000000" w:rsidRPr="00000000">
        <w:rPr>
          <w:rtl w:val="0"/>
        </w:rPr>
      </w:r>
    </w:p>
    <w:p w:rsidR="00000000" w:rsidDel="00000000" w:rsidP="00000000" w:rsidRDefault="00000000" w:rsidRPr="00000000" w14:paraId="00000046">
      <w:pPr>
        <w:spacing w:line="240" w:lineRule="auto"/>
        <w:ind w:left="72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7">
      <w:pPr>
        <w:numPr>
          <w:ilvl w:val="0"/>
          <w:numId w:val="3"/>
        </w:numPr>
        <w:spacing w:line="240" w:lineRule="auto"/>
        <w:ind w:left="90" w:hanging="360"/>
        <w:rPr>
          <w:rFonts w:ascii="Times New Roman" w:cs="Times New Roman" w:eastAsia="Times New Roman" w:hAnsi="Times New Roman"/>
          <w:color w:val="212121"/>
          <w:sz w:val="24"/>
          <w:szCs w:val="24"/>
          <w:highlight w:val="white"/>
          <w:u w:val="none"/>
        </w:rPr>
      </w:pPr>
      <w:r w:rsidDel="00000000" w:rsidR="00000000" w:rsidRPr="00000000">
        <w:rPr>
          <w:rFonts w:ascii="Times New Roman" w:cs="Times New Roman" w:eastAsia="Times New Roman" w:hAnsi="Times New Roman"/>
          <w:color w:val="212121"/>
          <w:sz w:val="24"/>
          <w:szCs w:val="24"/>
          <w:highlight w:val="white"/>
          <w:rtl w:val="0"/>
        </w:rPr>
        <w:t xml:space="preserve">Fagan JJ, Zafereo M, Aswani J, Netterville JL, Koch W. </w:t>
      </w:r>
      <w:r w:rsidDel="00000000" w:rsidR="00000000" w:rsidRPr="00000000">
        <w:rPr>
          <w:rFonts w:ascii="Times New Roman" w:cs="Times New Roman" w:eastAsia="Times New Roman" w:hAnsi="Times New Roman"/>
          <w:b w:val="1"/>
          <w:color w:val="212121"/>
          <w:sz w:val="24"/>
          <w:szCs w:val="24"/>
          <w:highlight w:val="white"/>
          <w:rtl w:val="0"/>
        </w:rPr>
        <w:t xml:space="preserve">Head and neck surgical subspecialty training in Africa: Sustainable models to improve cancer care in developing countries. </w:t>
      </w:r>
      <w:r w:rsidDel="00000000" w:rsidR="00000000" w:rsidRPr="00000000">
        <w:rPr>
          <w:rFonts w:ascii="Times New Roman" w:cs="Times New Roman" w:eastAsia="Times New Roman" w:hAnsi="Times New Roman"/>
          <w:color w:val="212121"/>
          <w:sz w:val="24"/>
          <w:szCs w:val="24"/>
          <w:highlight w:val="white"/>
          <w:rtl w:val="0"/>
        </w:rPr>
        <w:t xml:space="preserve">Head Neck. 2017 Mar;39(3):605-611. doi: 10.1002/hed.24591. Epub 2016 Nov 23. PMID: 27880008.</w:t>
      </w:r>
      <w:r w:rsidDel="00000000" w:rsidR="00000000" w:rsidRPr="00000000">
        <w:rPr>
          <w:rtl w:val="0"/>
        </w:rPr>
      </w:r>
    </w:p>
    <w:p w:rsidR="00000000" w:rsidDel="00000000" w:rsidP="00000000" w:rsidRDefault="00000000" w:rsidRPr="00000000" w14:paraId="00000048">
      <w:pPr>
        <w:numPr>
          <w:ilvl w:val="0"/>
          <w:numId w:val="3"/>
        </w:numPr>
        <w:spacing w:line="240" w:lineRule="auto"/>
        <w:ind w:left="9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212121"/>
          <w:sz w:val="24"/>
          <w:szCs w:val="24"/>
          <w:highlight w:val="white"/>
          <w:rtl w:val="0"/>
        </w:rPr>
        <w:t xml:space="preserve">Fagan JJ, Otiti J, Aswani J, Konney A, </w:t>
      </w:r>
      <w:r w:rsidDel="00000000" w:rsidR="00000000" w:rsidRPr="00000000">
        <w:rPr>
          <w:rFonts w:ascii="Times New Roman" w:cs="Times New Roman" w:eastAsia="Times New Roman" w:hAnsi="Times New Roman"/>
          <w:color w:val="212121"/>
          <w:sz w:val="24"/>
          <w:szCs w:val="24"/>
          <w:highlight w:val="white"/>
          <w:rtl w:val="0"/>
        </w:rPr>
        <w:t xml:space="preserve">Diom ES</w:t>
      </w:r>
      <w:r w:rsidDel="00000000" w:rsidR="00000000" w:rsidRPr="00000000">
        <w:rPr>
          <w:rFonts w:ascii="Times New Roman" w:cs="Times New Roman" w:eastAsia="Times New Roman" w:hAnsi="Times New Roman"/>
          <w:color w:val="212121"/>
          <w:sz w:val="24"/>
          <w:szCs w:val="24"/>
          <w:highlight w:val="white"/>
          <w:rtl w:val="0"/>
        </w:rPr>
        <w:t xml:space="preserve">, Baidoo K, Onakoya PA, Mugabo RM, Noah P, Mashamba V, Kundiona I, Garba M, Biadgelign MG, Macharia C, Bogale M, Koch WM. </w:t>
      </w:r>
      <w:r w:rsidDel="00000000" w:rsidR="00000000" w:rsidRPr="00000000">
        <w:rPr>
          <w:rFonts w:ascii="Times New Roman" w:cs="Times New Roman" w:eastAsia="Times New Roman" w:hAnsi="Times New Roman"/>
          <w:b w:val="1"/>
          <w:color w:val="212121"/>
          <w:sz w:val="24"/>
          <w:szCs w:val="24"/>
          <w:highlight w:val="white"/>
          <w:rtl w:val="0"/>
        </w:rPr>
        <w:t xml:space="preserve">African head and neck fellowships: A model for a sustainable impact on head and neck cancer care in developing countries.</w:t>
      </w:r>
      <w:r w:rsidDel="00000000" w:rsidR="00000000" w:rsidRPr="00000000">
        <w:rPr>
          <w:rFonts w:ascii="Times New Roman" w:cs="Times New Roman" w:eastAsia="Times New Roman" w:hAnsi="Times New Roman"/>
          <w:color w:val="212121"/>
          <w:sz w:val="24"/>
          <w:szCs w:val="24"/>
          <w:highlight w:val="white"/>
          <w:rtl w:val="0"/>
        </w:rPr>
        <w:t xml:space="preserve"> Head Neck. 2019 Jun;41(6):1824-1829. doi: 10.1002/hed.25615. Epub 2019 Jan 16. PMID: 30652381.</w:t>
      </w:r>
    </w:p>
    <w:p w:rsidR="00000000" w:rsidDel="00000000" w:rsidP="00000000" w:rsidRDefault="00000000" w:rsidRPr="00000000" w14:paraId="00000049">
      <w:pPr>
        <w:numPr>
          <w:ilvl w:val="0"/>
          <w:numId w:val="3"/>
        </w:numPr>
        <w:spacing w:line="240" w:lineRule="auto"/>
        <w:ind w:left="90" w:hanging="360"/>
        <w:rPr>
          <w:rFonts w:ascii="Times New Roman" w:cs="Times New Roman" w:eastAsia="Times New Roman" w:hAnsi="Times New Roman"/>
          <w:color w:val="212121"/>
          <w:sz w:val="24"/>
          <w:szCs w:val="24"/>
          <w:highlight w:val="white"/>
          <w:u w:val="none"/>
        </w:rPr>
      </w:pPr>
      <w:r w:rsidDel="00000000" w:rsidR="00000000" w:rsidRPr="00000000">
        <w:rPr>
          <w:rFonts w:ascii="Times New Roman" w:cs="Times New Roman" w:eastAsia="Times New Roman" w:hAnsi="Times New Roman"/>
          <w:color w:val="212121"/>
          <w:sz w:val="24"/>
          <w:szCs w:val="24"/>
          <w:highlight w:val="white"/>
          <w:rtl w:val="0"/>
        </w:rPr>
        <w:t xml:space="preserve">Fagan JJ. Editorial: </w:t>
      </w:r>
      <w:r w:rsidDel="00000000" w:rsidR="00000000" w:rsidRPr="00000000">
        <w:rPr>
          <w:rFonts w:ascii="Times New Roman" w:cs="Times New Roman" w:eastAsia="Times New Roman" w:hAnsi="Times New Roman"/>
          <w:b w:val="1"/>
          <w:color w:val="212121"/>
          <w:sz w:val="24"/>
          <w:szCs w:val="24"/>
          <w:highlight w:val="white"/>
          <w:rtl w:val="0"/>
        </w:rPr>
        <w:t xml:space="preserve">Priority setting in otolaryngology in under-resourced settings: practical and ethical dilemma.</w:t>
      </w:r>
      <w:r w:rsidDel="00000000" w:rsidR="00000000" w:rsidRPr="00000000">
        <w:rPr>
          <w:rFonts w:ascii="Times New Roman" w:cs="Times New Roman" w:eastAsia="Times New Roman" w:hAnsi="Times New Roman"/>
          <w:color w:val="212121"/>
          <w:sz w:val="24"/>
          <w:szCs w:val="24"/>
          <w:highlight w:val="white"/>
          <w:rtl w:val="0"/>
        </w:rPr>
        <w:t xml:space="preserve"> Curr Opin Otolaryngol Head Neck Surg. 2019 Jun;27(3):191-192. doi: 10.1097/MOO.0000000000000534. PMID: 30893133.</w:t>
      </w:r>
    </w:p>
    <w:p w:rsidR="00000000" w:rsidDel="00000000" w:rsidP="00000000" w:rsidRDefault="00000000" w:rsidRPr="00000000" w14:paraId="0000004A">
      <w:pPr>
        <w:numPr>
          <w:ilvl w:val="0"/>
          <w:numId w:val="3"/>
        </w:numPr>
        <w:spacing w:line="240" w:lineRule="auto"/>
        <w:ind w:left="90" w:hanging="360"/>
        <w:rPr>
          <w:rFonts w:ascii="Times New Roman" w:cs="Times New Roman" w:eastAsia="Times New Roman" w:hAnsi="Times New Roman"/>
          <w:color w:val="212121"/>
          <w:sz w:val="24"/>
          <w:szCs w:val="24"/>
          <w:highlight w:val="white"/>
          <w:u w:val="none"/>
        </w:rPr>
      </w:pPr>
      <w:r w:rsidDel="00000000" w:rsidR="00000000" w:rsidRPr="00000000">
        <w:rPr>
          <w:rFonts w:ascii="Times New Roman" w:cs="Times New Roman" w:eastAsia="Times New Roman" w:hAnsi="Times New Roman"/>
          <w:color w:val="212121"/>
          <w:sz w:val="24"/>
          <w:szCs w:val="24"/>
          <w:highlight w:val="white"/>
          <w:rtl w:val="0"/>
        </w:rPr>
        <w:t xml:space="preserve">Fagan JJ. </w:t>
      </w:r>
      <w:r w:rsidDel="00000000" w:rsidR="00000000" w:rsidRPr="00000000">
        <w:rPr>
          <w:rFonts w:ascii="Times New Roman" w:cs="Times New Roman" w:eastAsia="Times New Roman" w:hAnsi="Times New Roman"/>
          <w:b w:val="1"/>
          <w:color w:val="212121"/>
          <w:sz w:val="24"/>
          <w:szCs w:val="24"/>
          <w:highlight w:val="white"/>
          <w:rtl w:val="0"/>
        </w:rPr>
        <w:t xml:space="preserve">Open Access Publishing of Textbooks and Guidelines for Otolaryngologists in Developing Countries.</w:t>
      </w:r>
      <w:r w:rsidDel="00000000" w:rsidR="00000000" w:rsidRPr="00000000">
        <w:rPr>
          <w:rFonts w:ascii="Times New Roman" w:cs="Times New Roman" w:eastAsia="Times New Roman" w:hAnsi="Times New Roman"/>
          <w:color w:val="212121"/>
          <w:sz w:val="24"/>
          <w:szCs w:val="24"/>
          <w:highlight w:val="white"/>
          <w:rtl w:val="0"/>
        </w:rPr>
        <w:t xml:space="preserve"> OTO Open. 2019 Jul 10;3(3):2473974X19861567. doi: 10.1177/2473974X19861567. PMID: 31428730; PMCID: PMC6684142.</w:t>
      </w:r>
      <w:r w:rsidDel="00000000" w:rsidR="00000000" w:rsidRPr="00000000">
        <w:rPr>
          <w:rtl w:val="0"/>
        </w:rPr>
      </w:r>
    </w:p>
    <w:p w:rsidR="00000000" w:rsidDel="00000000" w:rsidP="00000000" w:rsidRDefault="00000000" w:rsidRPr="00000000" w14:paraId="0000004B">
      <w:pPr>
        <w:numPr>
          <w:ilvl w:val="0"/>
          <w:numId w:val="3"/>
        </w:numPr>
        <w:spacing w:line="240" w:lineRule="auto"/>
        <w:ind w:left="9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212121"/>
          <w:sz w:val="24"/>
          <w:szCs w:val="24"/>
          <w:highlight w:val="white"/>
          <w:rtl w:val="0"/>
        </w:rPr>
        <w:t xml:space="preserve">Fagan JJ. </w:t>
      </w:r>
      <w:r w:rsidDel="00000000" w:rsidR="00000000" w:rsidRPr="00000000">
        <w:rPr>
          <w:rFonts w:ascii="Times New Roman" w:cs="Times New Roman" w:eastAsia="Times New Roman" w:hAnsi="Times New Roman"/>
          <w:b w:val="1"/>
          <w:color w:val="212121"/>
          <w:sz w:val="24"/>
          <w:szCs w:val="24"/>
          <w:highlight w:val="white"/>
          <w:rtl w:val="0"/>
        </w:rPr>
        <w:t xml:space="preserve">Developing World ENT: a global responsibility. </w:t>
      </w:r>
      <w:r w:rsidDel="00000000" w:rsidR="00000000" w:rsidRPr="00000000">
        <w:rPr>
          <w:rFonts w:ascii="Times New Roman" w:cs="Times New Roman" w:eastAsia="Times New Roman" w:hAnsi="Times New Roman"/>
          <w:color w:val="212121"/>
          <w:sz w:val="24"/>
          <w:szCs w:val="24"/>
          <w:highlight w:val="white"/>
          <w:rtl w:val="0"/>
        </w:rPr>
        <w:t xml:space="preserve">J Laryngol Otol. 2012 Jun;126(6):544-7. doi: 10.1017/S0022215112000345. Epub 2012 Mar 30. PMID: 22459494.</w:t>
      </w:r>
    </w:p>
    <w:p w:rsidR="00000000" w:rsidDel="00000000" w:rsidP="00000000" w:rsidRDefault="00000000" w:rsidRPr="00000000" w14:paraId="0000004C">
      <w:pPr>
        <w:numPr>
          <w:ilvl w:val="0"/>
          <w:numId w:val="3"/>
        </w:numPr>
        <w:spacing w:line="240" w:lineRule="auto"/>
        <w:ind w:left="90" w:hanging="360"/>
        <w:rPr>
          <w:rFonts w:ascii="Times New Roman" w:cs="Times New Roman" w:eastAsia="Times New Roman" w:hAnsi="Times New Roman"/>
          <w:color w:val="212121"/>
          <w:sz w:val="24"/>
          <w:szCs w:val="24"/>
          <w:highlight w:val="white"/>
          <w:u w:val="none"/>
        </w:rPr>
      </w:pPr>
      <w:r w:rsidDel="00000000" w:rsidR="00000000" w:rsidRPr="00000000">
        <w:rPr>
          <w:rFonts w:ascii="Times New Roman" w:cs="Times New Roman" w:eastAsia="Times New Roman" w:hAnsi="Times New Roman"/>
          <w:color w:val="212121"/>
          <w:sz w:val="24"/>
          <w:szCs w:val="24"/>
          <w:highlight w:val="white"/>
          <w:rtl w:val="0"/>
        </w:rPr>
        <w:t xml:space="preserve">Mulwafu W, Fagan JJ, Mukara KB, Ibekwe TS. </w:t>
      </w:r>
      <w:r w:rsidDel="00000000" w:rsidR="00000000" w:rsidRPr="00000000">
        <w:rPr>
          <w:rFonts w:ascii="Times New Roman" w:cs="Times New Roman" w:eastAsia="Times New Roman" w:hAnsi="Times New Roman"/>
          <w:b w:val="1"/>
          <w:color w:val="212121"/>
          <w:sz w:val="24"/>
          <w:szCs w:val="24"/>
          <w:highlight w:val="white"/>
          <w:rtl w:val="0"/>
        </w:rPr>
        <w:t xml:space="preserve">ENT Outreach in Africa: Rules of Engagement.</w:t>
      </w:r>
      <w:r w:rsidDel="00000000" w:rsidR="00000000" w:rsidRPr="00000000">
        <w:rPr>
          <w:rFonts w:ascii="Times New Roman" w:cs="Times New Roman" w:eastAsia="Times New Roman" w:hAnsi="Times New Roman"/>
          <w:color w:val="212121"/>
          <w:sz w:val="24"/>
          <w:szCs w:val="24"/>
          <w:highlight w:val="white"/>
          <w:rtl w:val="0"/>
        </w:rPr>
        <w:t xml:space="preserve"> OTO Open. 2018 May 22;2(2):2473974X18777220. doi: 10.1177/2473974X18777220. PMID: 30480217; PMCID: PMC6239148.</w:t>
      </w:r>
      <w:r w:rsidDel="00000000" w:rsidR="00000000" w:rsidRPr="00000000">
        <w:rPr>
          <w:rtl w:val="0"/>
        </w:rPr>
      </w:r>
    </w:p>
    <w:p w:rsidR="00000000" w:rsidDel="00000000" w:rsidP="00000000" w:rsidRDefault="00000000" w:rsidRPr="00000000" w14:paraId="0000004D">
      <w:pPr>
        <w:numPr>
          <w:ilvl w:val="0"/>
          <w:numId w:val="3"/>
        </w:numPr>
        <w:spacing w:line="240" w:lineRule="auto"/>
        <w:ind w:left="90" w:hanging="360"/>
        <w:rPr>
          <w:rFonts w:ascii="Times New Roman" w:cs="Times New Roman" w:eastAsia="Times New Roman" w:hAnsi="Times New Roman"/>
          <w:color w:val="212121"/>
          <w:sz w:val="24"/>
          <w:szCs w:val="24"/>
          <w:u w:val="none"/>
        </w:rPr>
      </w:pPr>
      <w:r w:rsidDel="00000000" w:rsidR="00000000" w:rsidRPr="00000000">
        <w:rPr>
          <w:rFonts w:ascii="Times New Roman" w:cs="Times New Roman" w:eastAsia="Times New Roman" w:hAnsi="Times New Roman"/>
          <w:color w:val="212121"/>
          <w:sz w:val="24"/>
          <w:szCs w:val="24"/>
          <w:highlight w:val="white"/>
          <w:rtl w:val="0"/>
        </w:rPr>
        <w:t xml:space="preserve">Fagan JJ, Noronha V, Graboyes EM. </w:t>
      </w:r>
      <w:r w:rsidDel="00000000" w:rsidR="00000000" w:rsidRPr="00000000">
        <w:rPr>
          <w:rFonts w:ascii="Times New Roman" w:cs="Times New Roman" w:eastAsia="Times New Roman" w:hAnsi="Times New Roman"/>
          <w:b w:val="1"/>
          <w:color w:val="212121"/>
          <w:sz w:val="24"/>
          <w:szCs w:val="24"/>
          <w:highlight w:val="white"/>
          <w:rtl w:val="0"/>
        </w:rPr>
        <w:t xml:space="preserve">Making the Best of Limited Resources: Improving Outcomes in Head and Neck Cancer. </w:t>
      </w:r>
      <w:r w:rsidDel="00000000" w:rsidR="00000000" w:rsidRPr="00000000">
        <w:rPr>
          <w:rFonts w:ascii="Times New Roman" w:cs="Times New Roman" w:eastAsia="Times New Roman" w:hAnsi="Times New Roman"/>
          <w:color w:val="212121"/>
          <w:sz w:val="24"/>
          <w:szCs w:val="24"/>
          <w:highlight w:val="white"/>
          <w:rtl w:val="0"/>
        </w:rPr>
        <w:t xml:space="preserve">Am Soc Clin Oncol Educ Book. 2021 Mar;41:1-11. doi: 10.1200/EDBK_320923. PMID: 33793315; PMCID: PMC8059263.</w:t>
      </w:r>
    </w:p>
    <w:p w:rsidR="00000000" w:rsidDel="00000000" w:rsidP="00000000" w:rsidRDefault="00000000" w:rsidRPr="00000000" w14:paraId="0000004E">
      <w:pPr>
        <w:numPr>
          <w:ilvl w:val="0"/>
          <w:numId w:val="3"/>
        </w:numPr>
        <w:spacing w:line="240" w:lineRule="auto"/>
        <w:ind w:left="90" w:hanging="360"/>
        <w:rPr>
          <w:rFonts w:ascii="Times New Roman" w:cs="Times New Roman" w:eastAsia="Times New Roman" w:hAnsi="Times New Roman"/>
          <w:color w:val="212121"/>
          <w:sz w:val="24"/>
          <w:szCs w:val="24"/>
          <w:highlight w:val="white"/>
          <w:u w:val="none"/>
        </w:rPr>
      </w:pPr>
      <w:r w:rsidDel="00000000" w:rsidR="00000000" w:rsidRPr="00000000">
        <w:rPr>
          <w:rFonts w:ascii="Times New Roman" w:cs="Times New Roman" w:eastAsia="Times New Roman" w:hAnsi="Times New Roman"/>
          <w:color w:val="212121"/>
          <w:sz w:val="24"/>
          <w:szCs w:val="24"/>
          <w:highlight w:val="white"/>
          <w:rtl w:val="0"/>
        </w:rPr>
        <w:t xml:space="preserve">Kligerman MP, Lamour S, </w:t>
      </w:r>
      <w:r w:rsidDel="00000000" w:rsidR="00000000" w:rsidRPr="00000000">
        <w:rPr>
          <w:rFonts w:ascii="Times New Roman" w:cs="Times New Roman" w:eastAsia="Times New Roman" w:hAnsi="Times New Roman"/>
          <w:color w:val="212121"/>
          <w:sz w:val="24"/>
          <w:szCs w:val="24"/>
          <w:highlight w:val="white"/>
          <w:rtl w:val="0"/>
        </w:rPr>
        <w:t xml:space="preserve">Okerosi S</w:t>
      </w:r>
      <w:r w:rsidDel="00000000" w:rsidR="00000000" w:rsidRPr="00000000">
        <w:rPr>
          <w:rFonts w:ascii="Times New Roman" w:cs="Times New Roman" w:eastAsia="Times New Roman" w:hAnsi="Times New Roman"/>
          <w:color w:val="212121"/>
          <w:sz w:val="24"/>
          <w:szCs w:val="24"/>
          <w:highlight w:val="white"/>
          <w:rtl w:val="0"/>
        </w:rPr>
        <w:t xml:space="preserve">; Global OHNS Initiative. </w:t>
      </w:r>
      <w:r w:rsidDel="00000000" w:rsidR="00000000" w:rsidRPr="00000000">
        <w:rPr>
          <w:rFonts w:ascii="Times New Roman" w:cs="Times New Roman" w:eastAsia="Times New Roman" w:hAnsi="Times New Roman"/>
          <w:b w:val="1"/>
          <w:color w:val="212121"/>
          <w:sz w:val="24"/>
          <w:szCs w:val="24"/>
          <w:highlight w:val="white"/>
          <w:rtl w:val="0"/>
        </w:rPr>
        <w:t xml:space="preserve">Challenges facing otolaryngologists in low- and middle-income countries during the COVID-19 pandemic. Int J Pediatr Otorhinolaryngol. </w:t>
      </w:r>
      <w:r w:rsidDel="00000000" w:rsidR="00000000" w:rsidRPr="00000000">
        <w:rPr>
          <w:rFonts w:ascii="Times New Roman" w:cs="Times New Roman" w:eastAsia="Times New Roman" w:hAnsi="Times New Roman"/>
          <w:color w:val="212121"/>
          <w:sz w:val="24"/>
          <w:szCs w:val="24"/>
          <w:highlight w:val="white"/>
          <w:rtl w:val="0"/>
        </w:rPr>
        <w:t xml:space="preserve">2020 Nov;138:110322. doi: 10.1016/j.ijporl.2020.110322. Epub 2020 Aug 18. PMID: 32861979; PMCID: PMC7434320.</w:t>
      </w:r>
    </w:p>
    <w:p w:rsidR="00000000" w:rsidDel="00000000" w:rsidP="00000000" w:rsidRDefault="00000000" w:rsidRPr="00000000" w14:paraId="0000004F">
      <w:pPr>
        <w:numPr>
          <w:ilvl w:val="0"/>
          <w:numId w:val="3"/>
        </w:numPr>
        <w:spacing w:line="240" w:lineRule="auto"/>
        <w:ind w:left="90" w:hanging="360"/>
        <w:rPr>
          <w:rFonts w:ascii="Times New Roman" w:cs="Times New Roman" w:eastAsia="Times New Roman" w:hAnsi="Times New Roman"/>
          <w:color w:val="212121"/>
          <w:sz w:val="24"/>
          <w:szCs w:val="24"/>
          <w:highlight w:val="white"/>
          <w:u w:val="none"/>
        </w:rPr>
      </w:pPr>
      <w:r w:rsidDel="00000000" w:rsidR="00000000" w:rsidRPr="00000000">
        <w:rPr>
          <w:rFonts w:ascii="Times New Roman" w:cs="Times New Roman" w:eastAsia="Times New Roman" w:hAnsi="Times New Roman"/>
          <w:color w:val="212121"/>
          <w:sz w:val="24"/>
          <w:szCs w:val="24"/>
          <w:highlight w:val="white"/>
          <w:rtl w:val="0"/>
        </w:rPr>
        <w:t xml:space="preserve">Naidu P, Fagan JJ, Lategan C, Devenish LP, Chu KM. </w:t>
      </w:r>
      <w:r w:rsidDel="00000000" w:rsidR="00000000" w:rsidRPr="00000000">
        <w:rPr>
          <w:rFonts w:ascii="Times New Roman" w:cs="Times New Roman" w:eastAsia="Times New Roman" w:hAnsi="Times New Roman"/>
          <w:b w:val="1"/>
          <w:color w:val="212121"/>
          <w:sz w:val="24"/>
          <w:szCs w:val="24"/>
          <w:highlight w:val="white"/>
          <w:rtl w:val="0"/>
        </w:rPr>
        <w:t xml:space="preserve">The role of the University of Cape Town, South Africa in the training and retention of surgeons in Sub-Saharan Africa.</w:t>
      </w:r>
      <w:r w:rsidDel="00000000" w:rsidR="00000000" w:rsidRPr="00000000">
        <w:rPr>
          <w:rFonts w:ascii="Times New Roman" w:cs="Times New Roman" w:eastAsia="Times New Roman" w:hAnsi="Times New Roman"/>
          <w:color w:val="212121"/>
          <w:sz w:val="24"/>
          <w:szCs w:val="24"/>
          <w:highlight w:val="white"/>
          <w:rtl w:val="0"/>
        </w:rPr>
        <w:t xml:space="preserve"> Am J Surg. 2020 Nov;220(5):1208-1212. doi: 10.1016/j.amjsurg.2020.06.070. Epub 2020 Jul 10. PMID: 32771217.</w:t>
      </w:r>
    </w:p>
    <w:p w:rsidR="00000000" w:rsidDel="00000000" w:rsidP="00000000" w:rsidRDefault="00000000" w:rsidRPr="00000000" w14:paraId="00000050">
      <w:pPr>
        <w:numPr>
          <w:ilvl w:val="0"/>
          <w:numId w:val="3"/>
        </w:numPr>
        <w:spacing w:line="240" w:lineRule="auto"/>
        <w:ind w:left="90" w:hanging="360"/>
        <w:rPr>
          <w:rFonts w:ascii="Times New Roman" w:cs="Times New Roman" w:eastAsia="Times New Roman" w:hAnsi="Times New Roman"/>
          <w:color w:val="212121"/>
          <w:sz w:val="24"/>
          <w:szCs w:val="24"/>
          <w:highlight w:val="white"/>
          <w:u w:val="none"/>
        </w:rPr>
      </w:pPr>
      <w:r w:rsidDel="00000000" w:rsidR="00000000" w:rsidRPr="00000000">
        <w:rPr>
          <w:rFonts w:ascii="Times New Roman" w:cs="Times New Roman" w:eastAsia="Times New Roman" w:hAnsi="Times New Roman"/>
          <w:color w:val="212121"/>
          <w:sz w:val="24"/>
          <w:szCs w:val="24"/>
          <w:highlight w:val="white"/>
          <w:rtl w:val="0"/>
        </w:rPr>
        <w:t xml:space="preserve">Fagan JJ, Aswani J, Otiti J, Mushamba V, Liyombo E, Woodson G, Weed D, Zender C, Mannion K, Netterville JL, Wagner R, Zafereo M. </w:t>
      </w:r>
      <w:r w:rsidDel="00000000" w:rsidR="00000000" w:rsidRPr="00000000">
        <w:rPr>
          <w:rFonts w:ascii="Times New Roman" w:cs="Times New Roman" w:eastAsia="Times New Roman" w:hAnsi="Times New Roman"/>
          <w:b w:val="1"/>
          <w:color w:val="212121"/>
          <w:sz w:val="24"/>
          <w:szCs w:val="24"/>
          <w:highlight w:val="white"/>
          <w:rtl w:val="0"/>
        </w:rPr>
        <w:t xml:space="preserve">Educational workshops with graduates of the University of Cape Town Karl Storz Head and Neck Surgery Fellowship Program: a model for collaboration in outreach to developing countries. </w:t>
      </w:r>
      <w:r w:rsidDel="00000000" w:rsidR="00000000" w:rsidRPr="00000000">
        <w:rPr>
          <w:rFonts w:ascii="Times New Roman" w:cs="Times New Roman" w:eastAsia="Times New Roman" w:hAnsi="Times New Roman"/>
          <w:color w:val="212121"/>
          <w:sz w:val="24"/>
          <w:szCs w:val="24"/>
          <w:highlight w:val="white"/>
          <w:rtl w:val="0"/>
        </w:rPr>
        <w:t xml:space="preserve">Springerplus. 2016 Sep 23;5(1):1652. doi: 10.1186/s40064-016-3290-2. PMID: 27722069; PMCID: PMC5035289.</w:t>
      </w:r>
      <w:r w:rsidDel="00000000" w:rsidR="00000000" w:rsidRPr="00000000">
        <w:rPr>
          <w:rtl w:val="0"/>
        </w:rPr>
      </w:r>
    </w:p>
    <w:p w:rsidR="00000000" w:rsidDel="00000000" w:rsidP="00000000" w:rsidRDefault="00000000" w:rsidRPr="00000000" w14:paraId="00000051">
      <w:pPr>
        <w:numPr>
          <w:ilvl w:val="0"/>
          <w:numId w:val="3"/>
        </w:numPr>
        <w:spacing w:line="240" w:lineRule="auto"/>
        <w:ind w:left="90" w:hanging="360"/>
        <w:rPr>
          <w:rFonts w:ascii="Times New Roman" w:cs="Times New Roman" w:eastAsia="Times New Roman" w:hAnsi="Times New Roman"/>
          <w:color w:val="212121"/>
          <w:sz w:val="24"/>
          <w:szCs w:val="24"/>
          <w:highlight w:val="white"/>
          <w:u w:val="none"/>
        </w:rPr>
      </w:pPr>
      <w:r w:rsidDel="00000000" w:rsidR="00000000" w:rsidRPr="00000000">
        <w:rPr>
          <w:rFonts w:ascii="Times New Roman" w:cs="Times New Roman" w:eastAsia="Times New Roman" w:hAnsi="Times New Roman"/>
          <w:color w:val="212121"/>
          <w:sz w:val="24"/>
          <w:szCs w:val="24"/>
          <w:highlight w:val="white"/>
          <w:rtl w:val="0"/>
        </w:rPr>
        <w:t xml:space="preserve">Actis Danna V, Bedwell C, Wakasiaka S, Lavender T. </w:t>
      </w:r>
      <w:r w:rsidDel="00000000" w:rsidR="00000000" w:rsidRPr="00000000">
        <w:rPr>
          <w:rFonts w:ascii="Times New Roman" w:cs="Times New Roman" w:eastAsia="Times New Roman" w:hAnsi="Times New Roman"/>
          <w:b w:val="1"/>
          <w:color w:val="212121"/>
          <w:sz w:val="24"/>
          <w:szCs w:val="24"/>
          <w:highlight w:val="white"/>
          <w:rtl w:val="0"/>
        </w:rPr>
        <w:t xml:space="preserve">Utility of the three-delays model and its potential for supporting a solution-based approach to accessing intrapartum care in low- and middle-income countries. A qualitative evidence synthesis.</w:t>
      </w:r>
      <w:r w:rsidDel="00000000" w:rsidR="00000000" w:rsidRPr="00000000">
        <w:rPr>
          <w:rFonts w:ascii="Times New Roman" w:cs="Times New Roman" w:eastAsia="Times New Roman" w:hAnsi="Times New Roman"/>
          <w:color w:val="212121"/>
          <w:sz w:val="24"/>
          <w:szCs w:val="24"/>
          <w:highlight w:val="white"/>
          <w:rtl w:val="0"/>
        </w:rPr>
        <w:t xml:space="preserve"> Glob Health Action. 2020 Dec 31;13(1):1819052. doi: 10.1080/16549716.2020.1819052. PMID: 33040697; PMCID: PMC758072</w:t>
      </w:r>
      <w:r w:rsidDel="00000000" w:rsidR="00000000" w:rsidRPr="00000000">
        <w:rPr>
          <w:rFonts w:ascii="Roboto" w:cs="Roboto" w:eastAsia="Roboto" w:hAnsi="Roboto"/>
          <w:color w:val="212121"/>
          <w:sz w:val="24"/>
          <w:szCs w:val="24"/>
          <w:highlight w:val="white"/>
          <w:rtl w:val="0"/>
        </w:rPr>
        <w:t xml:space="preserve">4.</w:t>
      </w: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line="240" w:lineRule="auto"/>
      <w:jc w:val="right"/>
      <w:rPr>
        <w:rFonts w:ascii="Athelas" w:cs="Athelas" w:eastAsia="Athelas" w:hAnsi="Athelas"/>
        <w:b w:val="1"/>
        <w:sz w:val="24"/>
        <w:szCs w:val="24"/>
      </w:rPr>
    </w:pPr>
    <w:r w:rsidDel="00000000" w:rsidR="00000000" w:rsidRPr="00000000">
      <w:rPr>
        <w:rFonts w:ascii="Athelas" w:cs="Athelas" w:eastAsia="Athelas" w:hAnsi="Athelas"/>
        <w:b w:val="1"/>
        <w:sz w:val="24"/>
        <w:szCs w:val="24"/>
        <w:rtl w:val="0"/>
      </w:rPr>
      <w:t xml:space="preserve">Organizations</w:t>
    </w:r>
    <w:r w:rsidDel="00000000" w:rsidR="00000000" w:rsidRPr="00000000">
      <w:drawing>
        <wp:anchor allowOverlap="1" behindDoc="0" distB="0" distT="0" distL="114300" distR="114300" hidden="0" layoutInCell="1" locked="0" relativeHeight="0" simplePos="0">
          <wp:simplePos x="0" y="0"/>
          <wp:positionH relativeFrom="column">
            <wp:posOffset>-371474</wp:posOffset>
          </wp:positionH>
          <wp:positionV relativeFrom="paragraph">
            <wp:posOffset>-123824</wp:posOffset>
          </wp:positionV>
          <wp:extent cx="1548130" cy="571500"/>
          <wp:effectExtent b="0" l="0" r="0" t="0"/>
          <wp:wrapNone/>
          <wp:docPr descr="Macintosh HD:Users:m037114:Desktop:Untitled.png" id="1" name="image1.png"/>
          <a:graphic>
            <a:graphicData uri="http://schemas.openxmlformats.org/drawingml/2006/picture">
              <pic:pic>
                <pic:nvPicPr>
                  <pic:cNvPr descr="Macintosh HD:Users:m037114:Desktop:Untitled.png" id="0" name="image1.png"/>
                  <pic:cNvPicPr preferRelativeResize="0"/>
                </pic:nvPicPr>
                <pic:blipFill>
                  <a:blip r:embed="rId1"/>
                  <a:srcRect b="0" l="0" r="0" t="0"/>
                  <a:stretch>
                    <a:fillRect/>
                  </a:stretch>
                </pic:blipFill>
                <pic:spPr>
                  <a:xfrm>
                    <a:off x="0" y="0"/>
                    <a:ext cx="1548130" cy="571500"/>
                  </a:xfrm>
                  <a:prstGeom prst="rect"/>
                  <a:ln/>
                </pic:spPr>
              </pic:pic>
            </a:graphicData>
          </a:graphic>
        </wp:anchor>
      </w:drawing>
    </w:r>
  </w:p>
  <w:p w:rsidR="00000000" w:rsidDel="00000000" w:rsidP="00000000" w:rsidRDefault="00000000" w:rsidRPr="00000000" w14:paraId="00000053">
    <w:pPr>
      <w:tabs>
        <w:tab w:val="right" w:pos="9360"/>
      </w:tabs>
      <w:spacing w:line="240" w:lineRule="auto"/>
      <w:rPr>
        <w:rFonts w:ascii="Athelas" w:cs="Athelas" w:eastAsia="Athelas" w:hAnsi="Athelas"/>
        <w:i w:val="1"/>
        <w:sz w:val="24"/>
        <w:szCs w:val="24"/>
      </w:rPr>
    </w:pPr>
    <w:r w:rsidDel="00000000" w:rsidR="00000000" w:rsidRPr="00000000">
      <w:rPr>
        <w:rFonts w:ascii="Athelas" w:cs="Athelas" w:eastAsia="Athelas" w:hAnsi="Athelas"/>
        <w:sz w:val="24"/>
        <w:szCs w:val="24"/>
        <w:rtl w:val="0"/>
      </w:rPr>
      <w:tab/>
    </w:r>
    <w:r w:rsidDel="00000000" w:rsidR="00000000" w:rsidRPr="00000000">
      <w:rPr>
        <w:rFonts w:ascii="Athelas" w:cs="Athelas" w:eastAsia="Athelas" w:hAnsi="Athelas"/>
        <w:i w:val="1"/>
        <w:sz w:val="24"/>
        <w:szCs w:val="24"/>
        <w:rtl w:val="0"/>
      </w:rPr>
      <w:t xml:space="preserve">References</w:t>
    </w:r>
  </w:p>
  <w:p w:rsidR="00000000" w:rsidDel="00000000" w:rsidP="00000000" w:rsidRDefault="00000000" w:rsidRPr="00000000" w14:paraId="00000054">
    <w:pPr>
      <w:spacing w:line="240" w:lineRule="auto"/>
      <w:jc w:val="right"/>
      <w:rPr/>
    </w:pPr>
    <w:r w:rsidDel="00000000" w:rsidR="00000000" w:rsidRPr="00000000">
      <w:rPr>
        <w:rFonts w:ascii="Athelas" w:cs="Athelas" w:eastAsia="Athelas" w:hAnsi="Athelas"/>
        <w:i w:val="1"/>
        <w:sz w:val="24"/>
        <w:szCs w:val="24"/>
        <w:rtl w:val="0"/>
      </w:rPr>
      <w:tab/>
    </w:r>
    <w:r w:rsidDel="00000000" w:rsidR="00000000" w:rsidRPr="00000000">
      <w:rPr>
        <w:rFonts w:ascii="Athelas" w:cs="Athelas" w:eastAsia="Athelas" w:hAnsi="Athelas"/>
        <w:sz w:val="24"/>
        <w:szCs w:val="24"/>
        <w:u w:val="single"/>
        <w:rtl w:val="0"/>
      </w:rPr>
      <w:t xml:space="preserve">Themes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9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fhns.org/" TargetMode="External"/><Relationship Id="rId10" Type="http://schemas.openxmlformats.org/officeDocument/2006/relationships/hyperlink" Target="https://www.grad.ubc.ca/prospective-students/graduate-degree-programs/master-global-surgical-care" TargetMode="External"/><Relationship Id="rId13" Type="http://schemas.openxmlformats.org/officeDocument/2006/relationships/hyperlink" Target="http://www.entdev.uct.ac.za/guides/open-access-atlas-of-otolaryngology-head-neck-operative-surgery/" TargetMode="External"/><Relationship Id="rId12" Type="http://schemas.openxmlformats.org/officeDocument/2006/relationships/hyperlink" Target="http://www.entdev.uct.ac.z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fhns.org" TargetMode="External"/><Relationship Id="rId15" Type="http://schemas.openxmlformats.org/officeDocument/2006/relationships/header" Target="header1.xml"/><Relationship Id="rId14" Type="http://schemas.openxmlformats.org/officeDocument/2006/relationships/hyperlink" Target="http://www.entdev.uct.ac.za/guides/open-access-guide-to-audiology-and-hearing-aids-for-otolaryngologists" TargetMode="External"/><Relationship Id="rId5" Type="http://schemas.openxmlformats.org/officeDocument/2006/relationships/styles" Target="styles.xml"/><Relationship Id="rId6" Type="http://schemas.openxmlformats.org/officeDocument/2006/relationships/hyperlink" Target="https://pubmed.ncbi.nlm.nih.gov/33040697/" TargetMode="External"/><Relationship Id="rId7" Type="http://schemas.openxmlformats.org/officeDocument/2006/relationships/hyperlink" Target="https://developingworldheadandneckcancerguidelines.com" TargetMode="External"/><Relationship Id="rId8" Type="http://schemas.openxmlformats.org/officeDocument/2006/relationships/hyperlink" Target="https://www.headmirror.com/toc-podca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